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669"/>
        <w:gridCol w:w="565"/>
      </w:tblGrid>
      <w:tr w:rsidR="00FF762B" w:rsidRPr="008E2758" w:rsidTr="00FF762B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184CB9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TEAMLEIDER COMPETITIE- EN </w:t>
            </w:r>
            <w:r w:rsidR="00CF708D">
              <w:rPr>
                <w:b/>
                <w:caps/>
                <w:color w:val="FFFFFF"/>
                <w:sz w:val="18"/>
                <w:szCs w:val="18"/>
                <w:lang w:bidi="x-none"/>
              </w:rPr>
              <w:t>WEDSTRIJDZAKEN</w:t>
            </w:r>
            <w:r w:rsidR="00FF762B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CF708D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TEAMLEIDER COMPETITIE</w:t>
            </w:r>
            <w:r w:rsidR="00184CB9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- EN </w:t>
            </w:r>
            <w:bookmarkStart w:id="0" w:name="_GoBack"/>
            <w:bookmarkEnd w:id="0"/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WEDSTRIJDZAKEN</w:t>
            </w:r>
            <w:r w:rsidR="00FF762B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FF762B" w:rsidRPr="008E2758" w:rsidTr="00CA48C5">
        <w:trPr>
          <w:trHeight w:val="3214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762B" w:rsidRPr="008E2758" w:rsidRDefault="00CA48C5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FF762B" w:rsidRPr="00030423" w:rsidRDefault="00CF708D" w:rsidP="00306F8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>
              <w:rPr>
                <w:color w:val="auto"/>
                <w:sz w:val="18"/>
                <w:szCs w:val="18"/>
                <w:lang w:bidi="x-none"/>
              </w:rPr>
              <w:t>medewerker competitie/wedstrijdzaken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CF708D" w:rsidRDefault="00EF55D8" w:rsidP="00EF55D8">
            <w:pPr>
              <w:spacing w:line="240" w:lineRule="auto"/>
              <w:ind w:left="284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F762B" w:rsidRPr="00030423">
              <w:rPr>
                <w:color w:val="auto"/>
                <w:sz w:val="18"/>
                <w:szCs w:val="18"/>
              </w:rPr>
              <w:t>Focus van de functie ligt</w:t>
            </w:r>
            <w:r w:rsidR="00FF762B">
              <w:rPr>
                <w:color w:val="auto"/>
                <w:sz w:val="18"/>
                <w:szCs w:val="18"/>
              </w:rPr>
              <w:t xml:space="preserve"> op</w:t>
            </w:r>
            <w:r w:rsidR="00CF708D">
              <w:rPr>
                <w:color w:val="auto"/>
                <w:sz w:val="18"/>
                <w:szCs w:val="18"/>
              </w:rPr>
              <w:t xml:space="preserve"> </w:t>
            </w:r>
            <w:r w:rsidR="00CF708D">
              <w:rPr>
                <w:color w:val="000000" w:themeColor="text1"/>
                <w:sz w:val="18"/>
                <w:szCs w:val="18"/>
              </w:rPr>
              <w:t>het realiseren van e</w:t>
            </w:r>
            <w:r w:rsidR="00CF708D" w:rsidRPr="00AD5D4B">
              <w:rPr>
                <w:color w:val="000000" w:themeColor="text1"/>
                <w:sz w:val="18"/>
                <w:szCs w:val="18"/>
              </w:rPr>
              <w:t xml:space="preserve">en effectieve planning, </w:t>
            </w:r>
            <w:r w:rsidR="00CF708D">
              <w:rPr>
                <w:color w:val="000000" w:themeColor="text1"/>
                <w:sz w:val="18"/>
                <w:szCs w:val="18"/>
              </w:rPr>
              <w:t xml:space="preserve">ondersteuning, </w:t>
            </w:r>
            <w:r w:rsidR="00CF708D" w:rsidRPr="00AD5D4B">
              <w:rPr>
                <w:color w:val="000000" w:themeColor="text1"/>
                <w:sz w:val="18"/>
                <w:szCs w:val="18"/>
              </w:rPr>
              <w:t>organisatie en administratie van de competities</w:t>
            </w:r>
            <w:r w:rsidR="00CF708D">
              <w:rPr>
                <w:color w:val="000000" w:themeColor="text1"/>
                <w:sz w:val="18"/>
                <w:szCs w:val="18"/>
              </w:rPr>
              <w:t xml:space="preserve"> door:</w:t>
            </w:r>
          </w:p>
          <w:p w:rsidR="00CF708D" w:rsidRPr="00EF55D8" w:rsidRDefault="00EF55D8" w:rsidP="00EF55D8">
            <w:pPr>
              <w:spacing w:line="240" w:lineRule="auto"/>
              <w:ind w:left="568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ab/>
            </w:r>
            <w:r w:rsidR="00CF708D" w:rsidRPr="00EF55D8">
              <w:rPr>
                <w:color w:val="000000" w:themeColor="text1"/>
                <w:sz w:val="18"/>
                <w:szCs w:val="18"/>
              </w:rPr>
              <w:t>de borging van randvoorwaarden (mensen/middelen);</w:t>
            </w:r>
          </w:p>
          <w:p w:rsidR="00CF708D" w:rsidRPr="00EF55D8" w:rsidRDefault="00EF55D8" w:rsidP="00EF55D8">
            <w:pPr>
              <w:spacing w:line="240" w:lineRule="auto"/>
              <w:ind w:left="568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ab/>
            </w:r>
            <w:r w:rsidR="00CF708D" w:rsidRPr="00EF55D8">
              <w:rPr>
                <w:color w:val="000000" w:themeColor="text1"/>
                <w:sz w:val="18"/>
                <w:szCs w:val="18"/>
              </w:rPr>
              <w:t>het doorvoeren van verbeteringen;</w:t>
            </w:r>
          </w:p>
          <w:p w:rsidR="00CF708D" w:rsidRPr="00EF55D8" w:rsidRDefault="00EF55D8" w:rsidP="00EF55D8">
            <w:pPr>
              <w:spacing w:line="240" w:lineRule="auto"/>
              <w:ind w:left="568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ab/>
            </w:r>
            <w:r w:rsidR="00CF708D" w:rsidRPr="00EF55D8">
              <w:rPr>
                <w:color w:val="000000" w:themeColor="text1"/>
                <w:sz w:val="18"/>
                <w:szCs w:val="18"/>
              </w:rPr>
              <w:t>adviseren van verenigingen rondom competitie-aangelegenheden;</w:t>
            </w:r>
          </w:p>
          <w:p w:rsidR="00CF708D" w:rsidRPr="00EF55D8" w:rsidRDefault="00EF55D8" w:rsidP="00EF55D8">
            <w:pPr>
              <w:spacing w:line="240" w:lineRule="auto"/>
              <w:ind w:left="568" w:hanging="28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ab/>
            </w:r>
            <w:r w:rsidR="00CF708D" w:rsidRPr="00EF55D8">
              <w:rPr>
                <w:color w:val="000000" w:themeColor="text1"/>
                <w:sz w:val="18"/>
                <w:szCs w:val="18"/>
              </w:rPr>
              <w:t>aansturing van het eigen team (</w:t>
            </w:r>
            <w:r>
              <w:rPr>
                <w:color w:val="000000" w:themeColor="text1"/>
                <w:sz w:val="18"/>
                <w:szCs w:val="18"/>
              </w:rPr>
              <w:t xml:space="preserve">ongeveer vijf </w:t>
            </w:r>
            <w:r w:rsidR="00CF708D" w:rsidRPr="00EF55D8">
              <w:rPr>
                <w:color w:val="000000" w:themeColor="text1"/>
                <w:sz w:val="18"/>
                <w:szCs w:val="18"/>
              </w:rPr>
              <w:t>medewerkers);</w:t>
            </w:r>
          </w:p>
          <w:p w:rsidR="00FF762B" w:rsidRPr="00EF55D8" w:rsidRDefault="00EF55D8" w:rsidP="00EF55D8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 w:rsidRPr="00EF55D8">
              <w:rPr>
                <w:color w:val="000000" w:themeColor="text1"/>
                <w:sz w:val="18"/>
                <w:szCs w:val="18"/>
              </w:rPr>
              <w:t>.</w:t>
            </w:r>
            <w:r w:rsidRPr="00EF55D8">
              <w:rPr>
                <w:color w:val="000000" w:themeColor="text1"/>
                <w:sz w:val="18"/>
                <w:szCs w:val="18"/>
              </w:rPr>
              <w:tab/>
              <w:t>l</w:t>
            </w:r>
            <w:r w:rsidR="00CF708D" w:rsidRPr="00EF55D8">
              <w:rPr>
                <w:color w:val="000000" w:themeColor="text1"/>
                <w:sz w:val="18"/>
                <w:szCs w:val="18"/>
              </w:rPr>
              <w:t>everen van input voor de totstandkoming/aanpassing van het competitie-technisch beleid.</w:t>
            </w:r>
          </w:p>
          <w:p w:rsidR="00FF762B" w:rsidRPr="00030423" w:rsidRDefault="00FF762B" w:rsidP="00D77F01">
            <w:pPr>
              <w:spacing w:line="240" w:lineRule="auto"/>
              <w:ind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F762B" w:rsidRPr="00CA48C5" w:rsidRDefault="00EF55D8" w:rsidP="00EF55D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CF708D">
              <w:rPr>
                <w:color w:val="auto"/>
                <w:sz w:val="18"/>
                <w:szCs w:val="18"/>
              </w:rPr>
              <w:t>Focus van de functie is gelijk aan I met d</w:t>
            </w:r>
            <w:r>
              <w:rPr>
                <w:color w:val="auto"/>
                <w:sz w:val="18"/>
                <w:szCs w:val="18"/>
              </w:rPr>
              <w:t xml:space="preserve">ien verstande dat sprake is van, </w:t>
            </w:r>
            <w:r w:rsidR="00CA48C5" w:rsidRPr="00CA48C5">
              <w:rPr>
                <w:color w:val="auto"/>
                <w:sz w:val="18"/>
                <w:szCs w:val="18"/>
              </w:rPr>
              <w:t xml:space="preserve">door het ontbreken van een inhoudelijk leidinggevende, </w:t>
            </w:r>
            <w:r w:rsidR="00CF708D" w:rsidRPr="00CA48C5">
              <w:rPr>
                <w:color w:val="auto"/>
                <w:sz w:val="18"/>
                <w:szCs w:val="18"/>
              </w:rPr>
              <w:t xml:space="preserve">het </w:t>
            </w:r>
            <w:r w:rsidR="00CA48C5" w:rsidRPr="00CA48C5">
              <w:rPr>
                <w:color w:val="auto"/>
                <w:sz w:val="18"/>
                <w:szCs w:val="18"/>
              </w:rPr>
              <w:t>aanpassen/</w:t>
            </w:r>
            <w:r w:rsidR="00CF708D" w:rsidRPr="00CA48C5">
              <w:rPr>
                <w:color w:val="auto"/>
                <w:sz w:val="18"/>
                <w:szCs w:val="18"/>
              </w:rPr>
              <w:t xml:space="preserve">uitwerken van het </w:t>
            </w:r>
            <w:r w:rsidR="00CA48C5" w:rsidRPr="00CA48C5">
              <w:rPr>
                <w:color w:val="auto"/>
                <w:sz w:val="18"/>
                <w:szCs w:val="18"/>
              </w:rPr>
              <w:t>concept-</w:t>
            </w:r>
            <w:r w:rsidR="00CF708D" w:rsidRPr="00CA48C5">
              <w:rPr>
                <w:color w:val="auto"/>
                <w:sz w:val="18"/>
                <w:szCs w:val="18"/>
              </w:rPr>
              <w:t>competitiebeleid</w:t>
            </w:r>
            <w:r w:rsidR="00CA48C5" w:rsidRPr="00CA48C5">
              <w:rPr>
                <w:color w:val="auto"/>
                <w:sz w:val="18"/>
                <w:szCs w:val="18"/>
              </w:rPr>
              <w:t>, begeleiden van het besluitvormingsproces hieromtrent en implementeren van doorgevoerde wijzigingen in de competitie</w:t>
            </w:r>
            <w:r w:rsidR="00CA48C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FF762B" w:rsidRPr="00030423" w:rsidRDefault="00CA48C5" w:rsidP="00306F8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Geen referentiefunctie beschikbaar</w:t>
            </w:r>
          </w:p>
        </w:tc>
      </w:tr>
      <w:tr w:rsidR="00FF762B" w:rsidRPr="008E2758" w:rsidTr="00FF762B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rPr>
                <w:b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olor w:val="FFFFFF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CF708D" w:rsidP="001F1098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olor w:val="FFFFFF"/>
                <w:sz w:val="18"/>
                <w:szCs w:val="18"/>
                <w:lang w:bidi="x-none"/>
              </w:rPr>
              <w:t>9</w:t>
            </w:r>
          </w:p>
        </w:tc>
        <w:tc>
          <w:tcPr>
            <w:tcW w:w="566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CF708D" w:rsidP="001F1098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olor w:val="FFFFFF"/>
                <w:sz w:val="18"/>
                <w:szCs w:val="18"/>
                <w:lang w:bidi="x-none"/>
              </w:rPr>
              <w:t>10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olor w:val="FFFFFF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F5" w:rsidRDefault="006360F5" w:rsidP="00000E55">
      <w:pPr>
        <w:spacing w:line="240" w:lineRule="auto"/>
      </w:pPr>
      <w:r>
        <w:separator/>
      </w:r>
    </w:p>
  </w:endnote>
  <w:endnote w:type="continuationSeparator" w:id="0">
    <w:p w:rsidR="006360F5" w:rsidRDefault="006360F5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EF55D8">
      <w:rPr>
        <w:color w:val="auto"/>
        <w:sz w:val="16"/>
      </w:rPr>
      <w:t>1709</w:t>
    </w:r>
    <w:r w:rsidR="00E30072">
      <w:rPr>
        <w:color w:val="auto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F5" w:rsidRDefault="006360F5" w:rsidP="00000E55">
      <w:pPr>
        <w:spacing w:line="240" w:lineRule="auto"/>
      </w:pPr>
      <w:r>
        <w:separator/>
      </w:r>
    </w:p>
  </w:footnote>
  <w:footnote w:type="continuationSeparator" w:id="0">
    <w:p w:rsidR="006360F5" w:rsidRDefault="006360F5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738B"/>
    <w:multiLevelType w:val="hybridMultilevel"/>
    <w:tmpl w:val="1CEA9F6C"/>
    <w:lvl w:ilvl="0" w:tplc="DC203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F72D3"/>
    <w:multiLevelType w:val="hybridMultilevel"/>
    <w:tmpl w:val="B7303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83C85"/>
    <w:multiLevelType w:val="hybridMultilevel"/>
    <w:tmpl w:val="E4CACFC2"/>
    <w:lvl w:ilvl="0" w:tplc="DC203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B6"/>
    <w:rsid w:val="000002C6"/>
    <w:rsid w:val="00000E55"/>
    <w:rsid w:val="00030423"/>
    <w:rsid w:val="000406C1"/>
    <w:rsid w:val="00096618"/>
    <w:rsid w:val="000A552B"/>
    <w:rsid w:val="000B3A7E"/>
    <w:rsid w:val="000F1094"/>
    <w:rsid w:val="00135C6C"/>
    <w:rsid w:val="00143564"/>
    <w:rsid w:val="00170AD9"/>
    <w:rsid w:val="00184CB9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A6332"/>
    <w:rsid w:val="002B121C"/>
    <w:rsid w:val="002B3C7B"/>
    <w:rsid w:val="002D343F"/>
    <w:rsid w:val="002E4A7B"/>
    <w:rsid w:val="002E7055"/>
    <w:rsid w:val="002F757B"/>
    <w:rsid w:val="00302CD0"/>
    <w:rsid w:val="00306F8A"/>
    <w:rsid w:val="00356210"/>
    <w:rsid w:val="00361970"/>
    <w:rsid w:val="00382DF5"/>
    <w:rsid w:val="003A3333"/>
    <w:rsid w:val="003D0AC3"/>
    <w:rsid w:val="003D5E8F"/>
    <w:rsid w:val="003E72BF"/>
    <w:rsid w:val="003F00FD"/>
    <w:rsid w:val="003F0B83"/>
    <w:rsid w:val="004260D8"/>
    <w:rsid w:val="00426453"/>
    <w:rsid w:val="0044065F"/>
    <w:rsid w:val="00466242"/>
    <w:rsid w:val="00471FF6"/>
    <w:rsid w:val="00474625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316AA"/>
    <w:rsid w:val="00554835"/>
    <w:rsid w:val="00580AB9"/>
    <w:rsid w:val="00587C0A"/>
    <w:rsid w:val="00594972"/>
    <w:rsid w:val="005D4F42"/>
    <w:rsid w:val="0062683E"/>
    <w:rsid w:val="006360F5"/>
    <w:rsid w:val="006574A0"/>
    <w:rsid w:val="00681D67"/>
    <w:rsid w:val="006865A6"/>
    <w:rsid w:val="006970E3"/>
    <w:rsid w:val="006B622C"/>
    <w:rsid w:val="006D10BD"/>
    <w:rsid w:val="006D425F"/>
    <w:rsid w:val="006D50C2"/>
    <w:rsid w:val="006E0743"/>
    <w:rsid w:val="006E3EF3"/>
    <w:rsid w:val="007210EB"/>
    <w:rsid w:val="00725FAF"/>
    <w:rsid w:val="00740804"/>
    <w:rsid w:val="00755377"/>
    <w:rsid w:val="00765374"/>
    <w:rsid w:val="007713F1"/>
    <w:rsid w:val="007A13C4"/>
    <w:rsid w:val="007A16E7"/>
    <w:rsid w:val="007B4D88"/>
    <w:rsid w:val="007C2641"/>
    <w:rsid w:val="007E597A"/>
    <w:rsid w:val="007F607F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904BBB"/>
    <w:rsid w:val="00920637"/>
    <w:rsid w:val="00925A08"/>
    <w:rsid w:val="00940B0B"/>
    <w:rsid w:val="00945775"/>
    <w:rsid w:val="009900D8"/>
    <w:rsid w:val="009A1665"/>
    <w:rsid w:val="009C5FF6"/>
    <w:rsid w:val="009E680B"/>
    <w:rsid w:val="009F2344"/>
    <w:rsid w:val="00A1553E"/>
    <w:rsid w:val="00A166B6"/>
    <w:rsid w:val="00A4614C"/>
    <w:rsid w:val="00A6107E"/>
    <w:rsid w:val="00A67EF5"/>
    <w:rsid w:val="00A76CC9"/>
    <w:rsid w:val="00A77B31"/>
    <w:rsid w:val="00A85366"/>
    <w:rsid w:val="00AA570A"/>
    <w:rsid w:val="00AB6F17"/>
    <w:rsid w:val="00AE11B8"/>
    <w:rsid w:val="00AF6A5B"/>
    <w:rsid w:val="00AF6C2A"/>
    <w:rsid w:val="00B02519"/>
    <w:rsid w:val="00B168B1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58B1"/>
    <w:rsid w:val="00C1576B"/>
    <w:rsid w:val="00C232A9"/>
    <w:rsid w:val="00C240D7"/>
    <w:rsid w:val="00C2635C"/>
    <w:rsid w:val="00C36DB5"/>
    <w:rsid w:val="00C52D5F"/>
    <w:rsid w:val="00CA09EA"/>
    <w:rsid w:val="00CA48C5"/>
    <w:rsid w:val="00CA6AC0"/>
    <w:rsid w:val="00CC4BF7"/>
    <w:rsid w:val="00CD5626"/>
    <w:rsid w:val="00CF708D"/>
    <w:rsid w:val="00D06B4C"/>
    <w:rsid w:val="00D16F82"/>
    <w:rsid w:val="00D2293A"/>
    <w:rsid w:val="00D51948"/>
    <w:rsid w:val="00D70DA9"/>
    <w:rsid w:val="00D77F01"/>
    <w:rsid w:val="00D91D39"/>
    <w:rsid w:val="00DA79D3"/>
    <w:rsid w:val="00DB4731"/>
    <w:rsid w:val="00DE0A8F"/>
    <w:rsid w:val="00DE1460"/>
    <w:rsid w:val="00E1795A"/>
    <w:rsid w:val="00E30072"/>
    <w:rsid w:val="00E320BA"/>
    <w:rsid w:val="00E33AC1"/>
    <w:rsid w:val="00E40A6D"/>
    <w:rsid w:val="00E561F8"/>
    <w:rsid w:val="00E56C5A"/>
    <w:rsid w:val="00E87BF9"/>
    <w:rsid w:val="00E924CF"/>
    <w:rsid w:val="00E9461B"/>
    <w:rsid w:val="00EA239E"/>
    <w:rsid w:val="00EE640F"/>
    <w:rsid w:val="00EF46B6"/>
    <w:rsid w:val="00EF55D8"/>
    <w:rsid w:val="00EF7BD0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8333A"/>
    <w:rsid w:val="00F8736A"/>
    <w:rsid w:val="00F93728"/>
    <w:rsid w:val="00FC28C1"/>
    <w:rsid w:val="00FD4D4B"/>
    <w:rsid w:val="00FE47B3"/>
    <w:rsid w:val="00FF1E79"/>
    <w:rsid w:val="00FF5A0C"/>
    <w:rsid w:val="00FF7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EBB4C"/>
  <w14:defaultImageDpi w14:val="300"/>
  <w15:docId w15:val="{BBF2985A-1C5B-8344-BD9B-34887FA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PPEN/MAPPEN%20C-J/CAO%20SPORT%20(WOS)/CAOSPORT-functies/%20sjabloon%20CAOSPORT%20NOK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NOK2.dotx</Template>
  <TotalTime>18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985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4</cp:revision>
  <cp:lastPrinted>2018-07-19T09:25:00Z</cp:lastPrinted>
  <dcterms:created xsi:type="dcterms:W3CDTF">2018-09-17T08:15:00Z</dcterms:created>
  <dcterms:modified xsi:type="dcterms:W3CDTF">2018-09-17T14:27:00Z</dcterms:modified>
</cp:coreProperties>
</file>